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hAnsi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新晃侗族自治县商务科技和工业信息化局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/>
    <w:p>
      <w:pPr>
        <w:overflowPunct w:val="0"/>
        <w:spacing w:line="600" w:lineRule="exact"/>
        <w:ind w:firstLine="643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（一）绩效评价工作开展情况。</w:t>
      </w:r>
    </w:p>
    <w:p>
      <w:pPr>
        <w:overflowPunct w:val="0"/>
        <w:spacing w:line="600" w:lineRule="exact"/>
        <w:ind w:firstLine="640" w:firstLineChars="200"/>
        <w:rPr>
          <w:rFonts w:ascii="Times New Roman" w:hAnsi="Times New Roman" w:eastAsia="楷体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组织对2024年度单位整体支出开展绩效自评，涉及项目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333.73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333.73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%；政府性基金预算项目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万元，占政府性基金预算支出总额的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%；国有资本经营预算项目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万元，占国有资本经营预算支出总额的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%；社会保险基金预算项目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万元，占社会保险基金预算支出总额的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%。</w:t>
      </w:r>
    </w:p>
    <w:p>
      <w:pPr>
        <w:overflowPunct w:val="0"/>
        <w:spacing w:line="600" w:lineRule="exact"/>
        <w:ind w:firstLine="643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（二）绩效评价结果。</w:t>
      </w:r>
    </w:p>
    <w:p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2024年度本单位整体支出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1062.82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1062.82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92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</w:p>
    <w:p>
      <w:pPr>
        <w:overflowPunct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绩效目标完成情况：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一年来全局坚持以习近平新时代中国特色社会主义思想为指导，认真学习贯彻落实党的二十大和省、市、县相关会议精神，按照“强工壮农、兴城活旅、生态和谐、协调发展”总体要求，统筹推进稳增长、促改革、调结构、惠民生、防风险各项工作，促进经济社会持续健康发展，为努力开创“一个阵地、五个新晃”建设新局面提供有力的保障。较好的完成了本年绩效目标任务。服务企业及服务群众对开展的工作满意。</w:t>
      </w:r>
    </w:p>
    <w:p>
      <w:pPr>
        <w:overflowPunct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发现的主要问题及原因：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预算编制前根据年度内单位可预见的工作任务，确定了单位的年度预算目标，细化了预算指标，但是在实际支付过程中，个别时候未严格按照预算指标执行。</w:t>
      </w:r>
    </w:p>
    <w:p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下一步改进措施：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、加强学习，提高思想认识。组织单位财务人员认真学习《预算法》等相关法规、规章、制度，提高单位领导对全面预算管理的重视程度，增强财务人员的预算意识。2、严格管理，控制“三公”经费和公用经费支出。认真贯彻落实中央八项规定和市委、县委规定，严格按照规定开支有关经费，确保单位“三公”经费只减不增。3、规范财务运行，加强预算支出管理。严格遵循“先有预算，后有支出”的原则，建立健全并严格执行各项资金使用管理制度，建立内部控制制度。严格落实会计核算、报销审批制度，加强对资金使用环节的监督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。</w:t>
      </w:r>
    </w:p>
    <w:p>
      <w:pPr>
        <w:pStyle w:val="7"/>
        <w:overflowPunct w:val="0"/>
        <w:autoSpaceDE/>
        <w:autoSpaceDN/>
        <w:spacing w:line="600" w:lineRule="exact"/>
        <w:ind w:firstLine="643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  <w:t>（三）评价结果应用情况。</w:t>
      </w:r>
    </w:p>
    <w:p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根据2024年度整体支出绩效自评结果（得分92分，等级优秀），结合预算执行及目标完成情况，对本部门2025年度相关工作安排如下：</w:t>
      </w:r>
    </w:p>
    <w:p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一是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预算安排与支出结构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2025年预算编制将延续精准高效原则，强化绩效导向。优先保障“强工壮农、兴城活旅”等重大战略任务及服务企业、改善民生等重点领域支出，提升资金分配与政策目标的契合度。持续优化支出结构，严格落实过“紧日子”要求，从严控制“三公”经费及一般性支出，腾出财力用于支持产业创新与发展等重点方向。</w:t>
      </w:r>
    </w:p>
    <w:p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是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资金与绩效管理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针对上年自评发现的预算执行偏差问题，将进一步硬化预算约束，严格遵循“先有预算、后有支出”原则，加强支付审核与动态监控，确保资金执行规范高效。完善“预算-执行-评价”联动机制，强化绩效运行监控，将绩效评价结果作为2025年预算安排和政策调整的重要依据，切实提升财政资金使用效益。</w:t>
      </w:r>
    </w:p>
    <w:p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是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制度与能力建设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持续完善内控制度体系建设，重点强化资金使用、报销审批等关键环节的风险管控。组织财务与业务人员深入学习预算法、绩效管理等法规制度，增强全员预算意识和绩效观念，推动形成“讲绩效、重结果”的管理闭环，不断提升财务管理规范化水平。</w:t>
      </w:r>
    </w:p>
    <w:p>
      <w:pPr>
        <w:pStyle w:val="7"/>
        <w:jc w:val="center"/>
        <w:rPr>
          <w:rFonts w:ascii="Times New Roman" w:hAnsi="Times New Roman" w:cs="Times New Roman"/>
          <w:sz w:val="72"/>
          <w:szCs w:val="7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000000"/>
    <w:rsid w:val="0DAE0BC9"/>
    <w:rsid w:val="354B2BCB"/>
    <w:rsid w:val="3B1078EC"/>
    <w:rsid w:val="489A18C8"/>
    <w:rsid w:val="506374B2"/>
    <w:rsid w:val="727342FE"/>
    <w:rsid w:val="7BB2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paragraph" w:styleId="4">
    <w:name w:val="Body Text Indent"/>
    <w:basedOn w:val="1"/>
    <w:next w:val="3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286</Words>
  <Characters>290</Characters>
  <Lines>0</Lines>
  <Paragraphs>0</Paragraphs>
  <TotalTime>30</TotalTime>
  <ScaleCrop>false</ScaleCrop>
  <LinksUpToDate>false</LinksUpToDate>
  <CharactersWithSpaces>290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粥粥</cp:lastModifiedBy>
  <dcterms:modified xsi:type="dcterms:W3CDTF">2025-09-24T01:46:01Z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12A71744045445B687D66BD13FB312DC_12</vt:lpwstr>
  </property>
  <property fmtid="{D5CDD505-2E9C-101B-9397-08002B2CF9AE}" pid="4" name="KSOTemplateDocerSaveRecord">
    <vt:lpwstr>eyJoZGlkIjoiMGFiZjM2MjQwZTcwNjYyYzc4NDQ2ZDkzYWM3NGZmNDAiLCJ1c2VySWQiOiI5NzE1MzkyMDkifQ==</vt:lpwstr>
  </property>
</Properties>
</file>